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09" w:rsidRDefault="006D3109" w:rsidP="006D3109">
      <w:pPr>
        <w:pStyle w:val="msonormalmailrucssattributepostfix"/>
        <w:spacing w:after="0" w:afterAutospacing="0"/>
        <w:ind w:firstLine="709"/>
        <w:jc w:val="both"/>
      </w:pPr>
      <w:r>
        <w:rPr>
          <w:sz w:val="28"/>
          <w:szCs w:val="28"/>
        </w:rPr>
        <w:t xml:space="preserve">Прокуратура разъясняет при обнаружении торговли алкогольной продукцией (пивом, вином, водкой и т.д.) в нестационарном торговом павильоне обращайтесь по телефону в дежурную часть УМВД России по Фрунзенскому району Санкт-Петербурга: 766-02-02 или в отдел полиции УМВД района, на территории которого находится данный павильон. </w:t>
      </w:r>
    </w:p>
    <w:p w:rsidR="006D3109" w:rsidRDefault="006D3109" w:rsidP="006D3109">
      <w:pPr>
        <w:pStyle w:val="msonormalmailrucssattributepostfix"/>
        <w:spacing w:after="0" w:afterAutospacing="0"/>
        <w:ind w:firstLine="709"/>
        <w:jc w:val="both"/>
      </w:pPr>
      <w:r>
        <w:rPr>
          <w:sz w:val="28"/>
          <w:szCs w:val="28"/>
        </w:rPr>
        <w:t xml:space="preserve">В соответствии с законодательством о государственном регулировании производства и оборота этилового спирта, алкогольной продукции и спиртосодержащей продукции и об ограничении потребления (распития) алкогольной продукции запрещена розничная торговля любой алкогольной продукцией в нестационарном торговом объекте. За нарушение указанных требований законодательства предусмотрена административная ответственность по ч. 3 ст. 14.16 КоАП РФ в виде штрафа на должностных лиц от 20 000 до 40 000  рублей и на юридических лиц от 100 000 до 300 000 рублей с конфискацией алкогольной и спиртосодержащей продукцией или без таковой.  </w:t>
      </w:r>
    </w:p>
    <w:p w:rsidR="0021184C" w:rsidRDefault="0021184C">
      <w:bookmarkStart w:id="0" w:name="_GoBack"/>
      <w:bookmarkEnd w:id="0"/>
    </w:p>
    <w:sectPr w:rsidR="0021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09"/>
    <w:rsid w:val="0021184C"/>
    <w:rsid w:val="006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D31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D31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2018-08-23T11:52:00Z</dcterms:created>
  <dcterms:modified xsi:type="dcterms:W3CDTF">2018-08-23T11:52:00Z</dcterms:modified>
</cp:coreProperties>
</file>